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kern w:val="0"/>
          <w:sz w:val="32"/>
          <w:szCs w:val="32"/>
          <w:lang w:val="en-US" w:eastAsia="zh-CN"/>
        </w:rPr>
        <w:t>毕昕简介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姓名：毕昕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出生年月：198409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学历层次：文学博士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职称：讲师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研究方向：汉语国际教育/现代汉语语法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>主要科研成果：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发表北大核心期刊文章三篇：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1、《“秒杀”与“秒”的意义及其生命力》，发表于《语文建设》2012年1月；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2、《现代汉语问句应答系统研究》，发表于《语文建设》2013年3月；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20" w:right="0" w:rightChars="0" w:hanging="3120" w:hangingChars="130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3、《三个平面理论产生的必然性与句位研究的意义》，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20" w:right="0" w:rightChars="0" w:hanging="3120" w:hangingChars="130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发表于《语文建设》2013年9月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0" w:right="0" w:rightChars="0" w:hanging="4080" w:hangingChars="170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国家级学术期刊（教育类）文章一篇：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0" w:right="0" w:rightChars="0" w:hanging="4080" w:hangingChars="170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《基于“三个平面”理论的句位特征研究》，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0" w:right="0" w:rightChars="0" w:hanging="4080" w:hangingChars="170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发表于《中国科教创新导刊》2013年第14期；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省级社科类综合期刊文章一篇：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《汉语教学中的“被”字句教学》，发表于《西江月》2013年3月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科研项目：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2012年得到黑龙江大学大学生学术科研创新项目的支持，主持项目《现代汉语问句应答系统研究》，项目编号：121149（已完成）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2012年获得黑龙江省研究生创新科研资金项目支持，项目名称《现代汉语单句句位研究》，项目编号：YJSCX2012-287HLJ（已完成）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eastAsiaTheme="minor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博士论文题目：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现代汉语单句句位研究 ——以单句的单动核句位为例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承担课程：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本科教学：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对外汉语课程研究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对外汉语词汇教学研究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跨文化交际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硕士研究生教学：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80" w:right="0" w:rightChars="0" w:hanging="3480" w:hangingChars="1450"/>
        <w:jc w:val="both"/>
        <w:textAlignment w:val="auto"/>
        <w:outlineLvl w:val="9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跨文化交际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E35A7"/>
    <w:rsid w:val="70B11B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dcterms:modified xsi:type="dcterms:W3CDTF">2016-06-19T02:46:09Z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